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694C17">
        <w:rPr>
          <w:rFonts w:ascii="Arial" w:eastAsia="Malgun Gothic" w:hAnsi="Arial" w:cs="Arial"/>
          <w:b/>
          <w:sz w:val="24"/>
        </w:rPr>
        <w:t>90</w:t>
      </w:r>
      <w:r w:rsidRPr="00861CDE">
        <w:rPr>
          <w:rFonts w:ascii="Arial" w:eastAsia="Malgun Gothic" w:hAnsi="Arial" w:cs="Arial"/>
          <w:b/>
          <w:sz w:val="24"/>
        </w:rPr>
        <w:t>-e</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w:t>
      </w:r>
      <w:r w:rsidR="00694C17">
        <w:rPr>
          <w:rFonts w:ascii="Arial" w:eastAsia="Malgun Gothic" w:hAnsi="Arial" w:cs="Arial"/>
          <w:b/>
          <w:sz w:val="24"/>
        </w:rPr>
        <w:t>1</w:t>
      </w:r>
      <w:r w:rsidR="00275FEA">
        <w:rPr>
          <w:rFonts w:ascii="Arial" w:eastAsia="Malgun Gothic" w:hAnsi="Arial" w:cs="Arial"/>
          <w:b/>
          <w:sz w:val="24"/>
        </w:rPr>
        <w:t>3104</w:t>
      </w:r>
      <w:r w:rsidRPr="00861CDE">
        <w:rPr>
          <w:rFonts w:ascii="Arial" w:eastAsia="Malgun Gothic" w:hAnsi="Arial" w:cs="Arial"/>
          <w:b/>
          <w:sz w:val="24"/>
        </w:rPr>
        <w:br/>
      </w:r>
      <w:r w:rsidR="00694C17" w:rsidRPr="00694C17">
        <w:rPr>
          <w:rFonts w:ascii="Arial" w:eastAsia="Malgun Gothic" w:hAnsi="Arial" w:cs="Arial"/>
          <w:b/>
          <w:sz w:val="24"/>
        </w:rPr>
        <w:t>Electronic Meeting, 22nd February – 5th March 2021</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093490">
        <w:rPr>
          <w:rFonts w:ascii="Arial" w:eastAsia="Malgun Gothic" w:hAnsi="Arial" w:cs="Arial"/>
          <w:sz w:val="24"/>
          <w:szCs w:val="24"/>
          <w:lang w:val="en-GB"/>
        </w:rPr>
        <w:t>5.3.2.17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861CDE" w:rsidRDefault="00861CDE" w:rsidP="00861CDE">
      <w:pPr>
        <w:tabs>
          <w:tab w:val="left" w:pos="2250"/>
        </w:tabs>
        <w:spacing w:after="180" w:line="240" w:lineRule="auto"/>
        <w:ind w:left="2160" w:hanging="2160"/>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3B6FC3" w:rsidRPr="003B6FC3">
        <w:rPr>
          <w:rFonts w:ascii="Arial" w:eastAsia="Malgun Gothic" w:hAnsi="Arial" w:cs="Arial"/>
          <w:b/>
          <w:sz w:val="24"/>
          <w:szCs w:val="24"/>
          <w:lang w:val="en-GB"/>
        </w:rPr>
        <w:t>On the applicability of the RRM FR2 TT analysis</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AE0B49" w:rsidRDefault="003B6FC3" w:rsidP="001B5DBC">
      <w:r>
        <w:t>The first RRM FR2 test cases have been completed in RAN5 #90</w:t>
      </w:r>
      <w:r w:rsidR="00750DBD">
        <w:t>-e</w:t>
      </w:r>
      <w:r>
        <w:t xml:space="preserve"> and a few more will be completed during RAN5 #91</w:t>
      </w:r>
      <w:r w:rsidR="00750DBD">
        <w:t>-e</w:t>
      </w:r>
      <w:r>
        <w:t xml:space="preserve">. However, the TT analysis results are based on the DL AWGN MU, which is captured in the following extract from TR 38.903 [1]: </w:t>
      </w:r>
    </w:p>
    <w:p w:rsidR="003B6FC3" w:rsidRPr="003B6FC3" w:rsidRDefault="003B6FC3" w:rsidP="003B6FC3">
      <w:pPr>
        <w:pStyle w:val="Heading2"/>
        <w:numPr>
          <w:ilvl w:val="0"/>
          <w:numId w:val="0"/>
        </w:numPr>
        <w:ind w:left="595" w:hanging="595"/>
        <w:rPr>
          <w:highlight w:val="lightGray"/>
        </w:rPr>
      </w:pPr>
      <w:bookmarkStart w:id="2" w:name="_Toc43901385"/>
      <w:bookmarkStart w:id="3" w:name="_Toc52372136"/>
      <w:bookmarkStart w:id="4" w:name="_Toc58253595"/>
      <w:r w:rsidRPr="003B6FC3">
        <w:rPr>
          <w:highlight w:val="lightGray"/>
        </w:rPr>
        <w:t>E.3.1</w:t>
      </w:r>
      <w:r w:rsidRPr="003B6FC3">
        <w:rPr>
          <w:highlight w:val="lightGray"/>
        </w:rPr>
        <w:tab/>
        <w:t>Uncertainty assessment for DL AWGN absolute power or wanted DL signal absolute power</w:t>
      </w:r>
      <w:bookmarkEnd w:id="2"/>
      <w:bookmarkEnd w:id="3"/>
      <w:bookmarkEnd w:id="4"/>
    </w:p>
    <w:p w:rsidR="003B6FC3" w:rsidRPr="003B6FC3" w:rsidRDefault="003B6FC3" w:rsidP="003B6FC3">
      <w:pPr>
        <w:rPr>
          <w:highlight w:val="lightGray"/>
          <w:lang w:eastAsia="zh-CN"/>
        </w:rPr>
      </w:pPr>
      <w:r w:rsidRPr="003B6FC3">
        <w:rPr>
          <w:highlight w:val="lightGray"/>
          <w:lang w:eastAsia="zh-CN"/>
        </w:rPr>
        <w:t>Table E.3.1-1 summarizes the MU threshold for DL AWGN absolute power for RRM FR2 test cases. The origin MU values for different test setups with varies parameters can be found in following subclauses.</w:t>
      </w:r>
    </w:p>
    <w:p w:rsidR="003B6FC3" w:rsidRPr="003B6FC3" w:rsidRDefault="003B6FC3" w:rsidP="003B6FC3">
      <w:pPr>
        <w:pStyle w:val="TH"/>
        <w:rPr>
          <w:highlight w:val="lightGray"/>
        </w:rPr>
      </w:pPr>
      <w:r w:rsidRPr="003B6FC3">
        <w:rPr>
          <w:highlight w:val="lightGray"/>
        </w:rPr>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10"/>
        <w:gridCol w:w="1613"/>
        <w:gridCol w:w="1608"/>
        <w:gridCol w:w="1608"/>
      </w:tblGrid>
      <w:tr w:rsidR="003B6FC3" w:rsidRPr="003B6FC3" w:rsidTr="0017042D">
        <w:trPr>
          <w:jc w:val="center"/>
        </w:trPr>
        <w:tc>
          <w:tcPr>
            <w:tcW w:w="1000" w:type="pct"/>
            <w:tcBorders>
              <w:top w:val="single" w:sz="4" w:space="0" w:color="auto"/>
              <w:left w:val="single" w:sz="4" w:space="0" w:color="auto"/>
              <w:bottom w:val="single" w:sz="4" w:space="0" w:color="auto"/>
              <w:right w:val="single" w:sz="4" w:space="0" w:color="auto"/>
            </w:tcBorders>
          </w:tcPr>
          <w:p w:rsidR="003B6FC3" w:rsidRPr="003B6FC3" w:rsidRDefault="003B6FC3" w:rsidP="0017042D">
            <w:pPr>
              <w:pStyle w:val="TAH"/>
              <w:rPr>
                <w:highlight w:val="lightGray"/>
              </w:rPr>
            </w:pPr>
            <w:r w:rsidRPr="003B6FC3">
              <w:rPr>
                <w:highlight w:val="lightGray"/>
              </w:rPr>
              <w:t>Power Class</w:t>
            </w:r>
          </w:p>
        </w:tc>
        <w:tc>
          <w:tcPr>
            <w:tcW w:w="1000"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H"/>
              <w:rPr>
                <w:highlight w:val="lightGray"/>
              </w:rPr>
            </w:pPr>
            <w:r w:rsidRPr="003B6FC3">
              <w:rPr>
                <w:highlight w:val="lightGray"/>
              </w:rPr>
              <w:t>Frequency</w:t>
            </w:r>
          </w:p>
        </w:tc>
        <w:tc>
          <w:tcPr>
            <w:tcW w:w="1002"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H"/>
              <w:rPr>
                <w:highlight w:val="lightGray"/>
              </w:rPr>
            </w:pPr>
            <w:r w:rsidRPr="003B6FC3">
              <w:rPr>
                <w:highlight w:val="lightGray"/>
              </w:rPr>
              <w:t>MBW</w:t>
            </w:r>
          </w:p>
        </w:tc>
        <w:tc>
          <w:tcPr>
            <w:tcW w:w="999"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H"/>
              <w:rPr>
                <w:highlight w:val="lightGray"/>
              </w:rPr>
            </w:pPr>
            <w:r w:rsidRPr="003B6FC3">
              <w:rPr>
                <w:highlight w:val="lightGray"/>
              </w:rPr>
              <w:t>Power</w:t>
            </w:r>
          </w:p>
        </w:tc>
        <w:tc>
          <w:tcPr>
            <w:tcW w:w="999"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H"/>
              <w:rPr>
                <w:highlight w:val="lightGray"/>
              </w:rPr>
            </w:pPr>
            <w:r w:rsidRPr="003B6FC3">
              <w:rPr>
                <w:highlight w:val="lightGray"/>
              </w:rPr>
              <w:t>Threshold MU value (NOTE 1)</w:t>
            </w:r>
          </w:p>
        </w:tc>
      </w:tr>
      <w:tr w:rsidR="003B6FC3" w:rsidRPr="003B6FC3" w:rsidTr="0017042D">
        <w:trPr>
          <w:jc w:val="center"/>
        </w:trPr>
        <w:tc>
          <w:tcPr>
            <w:tcW w:w="1000" w:type="pct"/>
            <w:vMerge w:val="restart"/>
            <w:tcBorders>
              <w:top w:val="single" w:sz="4" w:space="0" w:color="auto"/>
              <w:left w:val="single" w:sz="4" w:space="0" w:color="auto"/>
              <w:right w:val="single" w:sz="4" w:space="0" w:color="auto"/>
            </w:tcBorders>
          </w:tcPr>
          <w:p w:rsidR="003B6FC3" w:rsidRPr="003B6FC3" w:rsidRDefault="003B6FC3" w:rsidP="0017042D">
            <w:pPr>
              <w:pStyle w:val="TAC"/>
              <w:rPr>
                <w:highlight w:val="lightGray"/>
                <w:lang w:eastAsia="zh-CN"/>
              </w:rPr>
            </w:pPr>
            <w:r w:rsidRPr="003B6FC3">
              <w:rPr>
                <w:highlight w:val="yellow"/>
                <w:lang w:eastAsia="zh-CN"/>
              </w:rPr>
              <w:t>PC3</w:t>
            </w:r>
          </w:p>
        </w:tc>
        <w:tc>
          <w:tcPr>
            <w:tcW w:w="1000" w:type="pct"/>
            <w:tcBorders>
              <w:top w:val="single" w:sz="4" w:space="0" w:color="auto"/>
              <w:left w:val="single" w:sz="4" w:space="0" w:color="auto"/>
              <w:bottom w:val="nil"/>
              <w:right w:val="single" w:sz="4" w:space="0" w:color="auto"/>
            </w:tcBorders>
            <w:hideMark/>
          </w:tcPr>
          <w:p w:rsidR="003B6FC3" w:rsidRPr="003B6FC3" w:rsidRDefault="003B6FC3" w:rsidP="0017042D">
            <w:pPr>
              <w:pStyle w:val="TAC"/>
              <w:rPr>
                <w:highlight w:val="yellow"/>
              </w:rPr>
            </w:pPr>
            <w:r w:rsidRPr="003B6FC3">
              <w:rPr>
                <w:highlight w:val="yellow"/>
                <w:lang w:eastAsia="zh-CN"/>
              </w:rPr>
              <w:t>23.45GHz &lt;= f &lt;=</w:t>
            </w:r>
            <w:r w:rsidRPr="003B6FC3">
              <w:rPr>
                <w:highlight w:val="yellow"/>
              </w:rPr>
              <w:t xml:space="preserve"> 32.125GHz</w:t>
            </w:r>
          </w:p>
        </w:tc>
        <w:tc>
          <w:tcPr>
            <w:tcW w:w="1002" w:type="pct"/>
            <w:tcBorders>
              <w:top w:val="single" w:sz="4" w:space="0" w:color="auto"/>
              <w:left w:val="single" w:sz="4" w:space="0" w:color="auto"/>
              <w:bottom w:val="nil"/>
              <w:right w:val="single" w:sz="4" w:space="0" w:color="auto"/>
            </w:tcBorders>
            <w:hideMark/>
          </w:tcPr>
          <w:p w:rsidR="003B6FC3" w:rsidRPr="003B6FC3" w:rsidRDefault="003B6FC3" w:rsidP="0017042D">
            <w:pPr>
              <w:pStyle w:val="TAC"/>
              <w:rPr>
                <w:highlight w:val="lightGray"/>
              </w:rPr>
            </w:pPr>
            <w:r w:rsidRPr="003B6FC3">
              <w:rPr>
                <w:highlight w:val="lightGray"/>
              </w:rPr>
              <w:t>BW &lt;= 400MHz</w:t>
            </w:r>
          </w:p>
        </w:tc>
        <w:tc>
          <w:tcPr>
            <w:tcW w:w="999" w:type="pct"/>
            <w:tcBorders>
              <w:top w:val="single" w:sz="4" w:space="0" w:color="auto"/>
              <w:left w:val="single" w:sz="4" w:space="0" w:color="auto"/>
              <w:bottom w:val="nil"/>
              <w:right w:val="single" w:sz="4" w:space="0" w:color="auto"/>
            </w:tcBorders>
            <w:hideMark/>
          </w:tcPr>
          <w:p w:rsidR="003B6FC3" w:rsidRPr="003B6FC3" w:rsidRDefault="003B6FC3" w:rsidP="0017042D">
            <w:pPr>
              <w:pStyle w:val="TAC"/>
              <w:rPr>
                <w:highlight w:val="lightGray"/>
              </w:rPr>
            </w:pPr>
            <w:r w:rsidRPr="003B6FC3">
              <w:rPr>
                <w:highlight w:val="lightGray"/>
              </w:rPr>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C"/>
              <w:rPr>
                <w:highlight w:val="lightGray"/>
                <w:lang w:eastAsia="zh-CN"/>
              </w:rPr>
            </w:pPr>
            <w:r w:rsidRPr="003B6FC3">
              <w:rPr>
                <w:highlight w:val="yellow"/>
                <w:lang w:eastAsia="zh-CN"/>
              </w:rPr>
              <w:t>5.65 dB</w:t>
            </w:r>
            <w:r w:rsidRPr="003B6FC3">
              <w:rPr>
                <w:highlight w:val="yellow"/>
                <w:vertAlign w:val="superscript"/>
                <w:lang w:eastAsia="zh-CN"/>
              </w:rPr>
              <w:t>2</w:t>
            </w:r>
          </w:p>
        </w:tc>
      </w:tr>
      <w:tr w:rsidR="003B6FC3" w:rsidRPr="003B6FC3" w:rsidTr="0017042D">
        <w:trPr>
          <w:jc w:val="center"/>
        </w:trPr>
        <w:tc>
          <w:tcPr>
            <w:tcW w:w="1000" w:type="pct"/>
            <w:vMerge/>
            <w:tcBorders>
              <w:left w:val="single" w:sz="4" w:space="0" w:color="auto"/>
              <w:bottom w:val="single" w:sz="4" w:space="0" w:color="auto"/>
              <w:right w:val="single" w:sz="4" w:space="0" w:color="auto"/>
            </w:tcBorders>
          </w:tcPr>
          <w:p w:rsidR="003B6FC3" w:rsidRPr="003B6FC3" w:rsidRDefault="003B6FC3" w:rsidP="0017042D">
            <w:pPr>
              <w:pStyle w:val="TAC"/>
              <w:rPr>
                <w:highlight w:val="lightGray"/>
              </w:rPr>
            </w:pPr>
          </w:p>
        </w:tc>
        <w:tc>
          <w:tcPr>
            <w:tcW w:w="1000"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C"/>
              <w:rPr>
                <w:highlight w:val="yellow"/>
                <w:lang w:eastAsia="zh-CN"/>
              </w:rPr>
            </w:pPr>
            <w:r w:rsidRPr="003B6FC3">
              <w:rPr>
                <w:highlight w:val="yellow"/>
              </w:rPr>
              <w:t>32.125GHz &lt; f &lt;= 40.8GHz</w:t>
            </w:r>
          </w:p>
        </w:tc>
        <w:tc>
          <w:tcPr>
            <w:tcW w:w="1002" w:type="pct"/>
            <w:tcBorders>
              <w:top w:val="nil"/>
              <w:left w:val="single" w:sz="4" w:space="0" w:color="auto"/>
              <w:bottom w:val="single" w:sz="4" w:space="0" w:color="auto"/>
              <w:right w:val="single" w:sz="4" w:space="0" w:color="auto"/>
            </w:tcBorders>
          </w:tcPr>
          <w:p w:rsidR="003B6FC3" w:rsidRPr="003B6FC3" w:rsidRDefault="003B6FC3" w:rsidP="0017042D">
            <w:pPr>
              <w:pStyle w:val="TAC"/>
              <w:rPr>
                <w:highlight w:val="lightGray"/>
              </w:rPr>
            </w:pPr>
          </w:p>
        </w:tc>
        <w:tc>
          <w:tcPr>
            <w:tcW w:w="999" w:type="pct"/>
            <w:tcBorders>
              <w:top w:val="nil"/>
              <w:left w:val="single" w:sz="4" w:space="0" w:color="auto"/>
              <w:bottom w:val="single" w:sz="4" w:space="0" w:color="auto"/>
              <w:right w:val="single" w:sz="4" w:space="0" w:color="auto"/>
            </w:tcBorders>
          </w:tcPr>
          <w:p w:rsidR="003B6FC3" w:rsidRPr="003B6FC3" w:rsidRDefault="003B6FC3" w:rsidP="0017042D">
            <w:pPr>
              <w:pStyle w:val="TAC"/>
              <w:rPr>
                <w:highlight w:val="lightGray"/>
              </w:rPr>
            </w:pPr>
          </w:p>
        </w:tc>
        <w:tc>
          <w:tcPr>
            <w:tcW w:w="999"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C"/>
              <w:rPr>
                <w:highlight w:val="lightGray"/>
                <w:lang w:eastAsia="zh-CN"/>
              </w:rPr>
            </w:pPr>
            <w:r w:rsidRPr="003B6FC3">
              <w:rPr>
                <w:highlight w:val="yellow"/>
                <w:lang w:eastAsia="zh-CN"/>
              </w:rPr>
              <w:t>5.65 dB</w:t>
            </w:r>
            <w:r w:rsidRPr="003B6FC3">
              <w:rPr>
                <w:highlight w:val="yellow"/>
                <w:vertAlign w:val="superscript"/>
                <w:lang w:eastAsia="zh-CN"/>
              </w:rPr>
              <w:t>2</w:t>
            </w:r>
          </w:p>
        </w:tc>
      </w:tr>
      <w:tr w:rsidR="003B6FC3" w:rsidRPr="003B6FC3" w:rsidTr="0017042D">
        <w:trPr>
          <w:jc w:val="center"/>
        </w:trPr>
        <w:tc>
          <w:tcPr>
            <w:tcW w:w="1000" w:type="pct"/>
            <w:vMerge w:val="restart"/>
            <w:tcBorders>
              <w:top w:val="single" w:sz="4" w:space="0" w:color="auto"/>
              <w:left w:val="single" w:sz="4" w:space="0" w:color="auto"/>
              <w:right w:val="single" w:sz="4" w:space="0" w:color="auto"/>
            </w:tcBorders>
          </w:tcPr>
          <w:p w:rsidR="003B6FC3" w:rsidRPr="003B6FC3" w:rsidRDefault="003B6FC3" w:rsidP="0017042D">
            <w:pPr>
              <w:pStyle w:val="TAC"/>
              <w:rPr>
                <w:highlight w:val="lightGray"/>
                <w:lang w:eastAsia="zh-CN"/>
              </w:rPr>
            </w:pPr>
            <w:r w:rsidRPr="003B6FC3">
              <w:rPr>
                <w:highlight w:val="lightGray"/>
                <w:lang w:eastAsia="zh-CN"/>
              </w:rPr>
              <w:t>PC1</w:t>
            </w:r>
          </w:p>
        </w:tc>
        <w:tc>
          <w:tcPr>
            <w:tcW w:w="1000" w:type="pct"/>
            <w:tcBorders>
              <w:top w:val="single" w:sz="4" w:space="0" w:color="auto"/>
              <w:left w:val="single" w:sz="4" w:space="0" w:color="auto"/>
              <w:bottom w:val="nil"/>
              <w:right w:val="single" w:sz="4" w:space="0" w:color="auto"/>
            </w:tcBorders>
            <w:hideMark/>
          </w:tcPr>
          <w:p w:rsidR="003B6FC3" w:rsidRPr="003B6FC3" w:rsidRDefault="003B6FC3" w:rsidP="0017042D">
            <w:pPr>
              <w:pStyle w:val="TAC"/>
              <w:rPr>
                <w:highlight w:val="lightGray"/>
              </w:rPr>
            </w:pPr>
            <w:r w:rsidRPr="003B6FC3">
              <w:rPr>
                <w:highlight w:val="lightGray"/>
                <w:lang w:eastAsia="zh-CN"/>
              </w:rPr>
              <w:t>23.45GHz &lt;= f &lt;=</w:t>
            </w:r>
            <w:r w:rsidRPr="003B6FC3">
              <w:rPr>
                <w:highlight w:val="lightGray"/>
              </w:rPr>
              <w:t xml:space="preserve"> 32.125GHz</w:t>
            </w:r>
          </w:p>
        </w:tc>
        <w:tc>
          <w:tcPr>
            <w:tcW w:w="1002" w:type="pct"/>
            <w:tcBorders>
              <w:top w:val="single" w:sz="4" w:space="0" w:color="auto"/>
              <w:left w:val="single" w:sz="4" w:space="0" w:color="auto"/>
              <w:bottom w:val="nil"/>
              <w:right w:val="single" w:sz="4" w:space="0" w:color="auto"/>
            </w:tcBorders>
            <w:hideMark/>
          </w:tcPr>
          <w:p w:rsidR="003B6FC3" w:rsidRPr="003B6FC3" w:rsidRDefault="003B6FC3" w:rsidP="0017042D">
            <w:pPr>
              <w:pStyle w:val="TAC"/>
              <w:rPr>
                <w:highlight w:val="lightGray"/>
              </w:rPr>
            </w:pPr>
            <w:r w:rsidRPr="003B6FC3">
              <w:rPr>
                <w:highlight w:val="lightGray"/>
              </w:rPr>
              <w:t>BW &lt;= 400MHz</w:t>
            </w:r>
          </w:p>
        </w:tc>
        <w:tc>
          <w:tcPr>
            <w:tcW w:w="999" w:type="pct"/>
            <w:tcBorders>
              <w:top w:val="single" w:sz="4" w:space="0" w:color="auto"/>
              <w:left w:val="single" w:sz="4" w:space="0" w:color="auto"/>
              <w:bottom w:val="nil"/>
              <w:right w:val="single" w:sz="4" w:space="0" w:color="auto"/>
            </w:tcBorders>
            <w:hideMark/>
          </w:tcPr>
          <w:p w:rsidR="003B6FC3" w:rsidRPr="003B6FC3" w:rsidRDefault="003B6FC3" w:rsidP="0017042D">
            <w:pPr>
              <w:pStyle w:val="TAC"/>
              <w:rPr>
                <w:highlight w:val="lightGray"/>
              </w:rPr>
            </w:pPr>
            <w:r w:rsidRPr="003B6FC3">
              <w:rPr>
                <w:highlight w:val="lightGray"/>
              </w:rPr>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C"/>
              <w:rPr>
                <w:highlight w:val="lightGray"/>
                <w:lang w:eastAsia="zh-CN"/>
              </w:rPr>
            </w:pPr>
            <w:r w:rsidRPr="003B6FC3">
              <w:rPr>
                <w:szCs w:val="18"/>
                <w:highlight w:val="lightGray"/>
                <w:lang w:eastAsia="ja-JP"/>
              </w:rPr>
              <w:t>FFS</w:t>
            </w:r>
          </w:p>
        </w:tc>
      </w:tr>
      <w:tr w:rsidR="003B6FC3" w:rsidRPr="003B6FC3" w:rsidTr="0017042D">
        <w:trPr>
          <w:jc w:val="center"/>
        </w:trPr>
        <w:tc>
          <w:tcPr>
            <w:tcW w:w="1000" w:type="pct"/>
            <w:vMerge/>
            <w:tcBorders>
              <w:left w:val="single" w:sz="4" w:space="0" w:color="auto"/>
              <w:bottom w:val="single" w:sz="4" w:space="0" w:color="auto"/>
              <w:right w:val="single" w:sz="4" w:space="0" w:color="auto"/>
            </w:tcBorders>
          </w:tcPr>
          <w:p w:rsidR="003B6FC3" w:rsidRPr="003B6FC3" w:rsidRDefault="003B6FC3" w:rsidP="0017042D">
            <w:pPr>
              <w:pStyle w:val="TAC"/>
              <w:rPr>
                <w:highlight w:val="lightGray"/>
              </w:rPr>
            </w:pPr>
          </w:p>
        </w:tc>
        <w:tc>
          <w:tcPr>
            <w:tcW w:w="1000"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C"/>
              <w:rPr>
                <w:highlight w:val="lightGray"/>
                <w:lang w:eastAsia="zh-CN"/>
              </w:rPr>
            </w:pPr>
            <w:r w:rsidRPr="003B6FC3">
              <w:rPr>
                <w:highlight w:val="lightGray"/>
              </w:rPr>
              <w:t>32.125GHz &lt; f &lt;= 40.8GHz</w:t>
            </w:r>
          </w:p>
        </w:tc>
        <w:tc>
          <w:tcPr>
            <w:tcW w:w="1002" w:type="pct"/>
            <w:tcBorders>
              <w:top w:val="nil"/>
              <w:left w:val="single" w:sz="4" w:space="0" w:color="auto"/>
              <w:bottom w:val="single" w:sz="4" w:space="0" w:color="auto"/>
              <w:right w:val="single" w:sz="4" w:space="0" w:color="auto"/>
            </w:tcBorders>
          </w:tcPr>
          <w:p w:rsidR="003B6FC3" w:rsidRPr="003B6FC3" w:rsidRDefault="003B6FC3" w:rsidP="0017042D">
            <w:pPr>
              <w:pStyle w:val="TAC"/>
              <w:rPr>
                <w:highlight w:val="lightGray"/>
              </w:rPr>
            </w:pPr>
          </w:p>
        </w:tc>
        <w:tc>
          <w:tcPr>
            <w:tcW w:w="999" w:type="pct"/>
            <w:tcBorders>
              <w:top w:val="nil"/>
              <w:left w:val="single" w:sz="4" w:space="0" w:color="auto"/>
              <w:bottom w:val="single" w:sz="4" w:space="0" w:color="auto"/>
              <w:right w:val="single" w:sz="4" w:space="0" w:color="auto"/>
            </w:tcBorders>
          </w:tcPr>
          <w:p w:rsidR="003B6FC3" w:rsidRPr="003B6FC3" w:rsidRDefault="003B6FC3" w:rsidP="0017042D">
            <w:pPr>
              <w:pStyle w:val="TAC"/>
              <w:rPr>
                <w:highlight w:val="lightGray"/>
              </w:rPr>
            </w:pPr>
          </w:p>
        </w:tc>
        <w:tc>
          <w:tcPr>
            <w:tcW w:w="999" w:type="pct"/>
            <w:tcBorders>
              <w:top w:val="single" w:sz="4" w:space="0" w:color="auto"/>
              <w:left w:val="single" w:sz="4" w:space="0" w:color="auto"/>
              <w:bottom w:val="single" w:sz="4" w:space="0" w:color="auto"/>
              <w:right w:val="single" w:sz="4" w:space="0" w:color="auto"/>
            </w:tcBorders>
            <w:hideMark/>
          </w:tcPr>
          <w:p w:rsidR="003B6FC3" w:rsidRPr="003B6FC3" w:rsidRDefault="003B6FC3" w:rsidP="0017042D">
            <w:pPr>
              <w:pStyle w:val="TAC"/>
              <w:rPr>
                <w:highlight w:val="lightGray"/>
                <w:lang w:eastAsia="zh-CN"/>
              </w:rPr>
            </w:pPr>
            <w:r w:rsidRPr="003B6FC3">
              <w:rPr>
                <w:szCs w:val="18"/>
                <w:highlight w:val="lightGray"/>
                <w:lang w:eastAsia="ja-JP"/>
              </w:rPr>
              <w:t>FFS</w:t>
            </w:r>
          </w:p>
        </w:tc>
      </w:tr>
      <w:tr w:rsidR="003B6FC3" w:rsidRPr="000B6193" w:rsidTr="0017042D">
        <w:trPr>
          <w:jc w:val="center"/>
        </w:trPr>
        <w:tc>
          <w:tcPr>
            <w:tcW w:w="5000" w:type="pct"/>
            <w:gridSpan w:val="5"/>
            <w:tcBorders>
              <w:top w:val="single" w:sz="4" w:space="0" w:color="auto"/>
              <w:left w:val="single" w:sz="4" w:space="0" w:color="auto"/>
              <w:bottom w:val="single" w:sz="4" w:space="0" w:color="auto"/>
              <w:right w:val="single" w:sz="4" w:space="0" w:color="auto"/>
            </w:tcBorders>
          </w:tcPr>
          <w:p w:rsidR="003B6FC3" w:rsidRPr="003B6FC3" w:rsidRDefault="003B6FC3" w:rsidP="0017042D">
            <w:pPr>
              <w:pStyle w:val="TAN"/>
              <w:tabs>
                <w:tab w:val="left" w:pos="4607"/>
              </w:tabs>
              <w:rPr>
                <w:highlight w:val="lightGray"/>
              </w:rPr>
            </w:pPr>
            <w:r w:rsidRPr="003B6FC3">
              <w:rPr>
                <w:highlight w:val="lightGray"/>
              </w:rPr>
              <w:t>NOTE 1:</w:t>
            </w:r>
            <w:r w:rsidRPr="003B6FC3">
              <w:rPr>
                <w:highlight w:val="lightGray"/>
              </w:rPr>
              <w:tab/>
              <w:t xml:space="preserve">Total Expanded MU for IFF for Quiet Zone size </w:t>
            </w:r>
            <w:r w:rsidRPr="003B6FC3">
              <w:rPr>
                <w:rFonts w:cs="Arial"/>
                <w:highlight w:val="lightGray"/>
              </w:rPr>
              <w:t>≤</w:t>
            </w:r>
            <w:r w:rsidRPr="003B6FC3">
              <w:rPr>
                <w:highlight w:val="lightGray"/>
              </w:rPr>
              <w:t xml:space="preserve"> 30cm in Table E.3.1.3-2 for PC3 UEs and Table FFS for PC1 UEs</w:t>
            </w:r>
          </w:p>
          <w:p w:rsidR="003B6FC3" w:rsidRPr="000B6193" w:rsidRDefault="003B6FC3" w:rsidP="0017042D">
            <w:pPr>
              <w:pStyle w:val="TAN"/>
              <w:tabs>
                <w:tab w:val="left" w:pos="4607"/>
              </w:tabs>
              <w:rPr>
                <w:lang w:eastAsia="zh-CN"/>
              </w:rPr>
            </w:pPr>
            <w:r w:rsidRPr="003B6FC3">
              <w:rPr>
                <w:highlight w:val="lightGray"/>
              </w:rPr>
              <w:t>NOTE 2:</w:t>
            </w:r>
            <w:r w:rsidRPr="003B6FC3">
              <w:rPr>
                <w:highlight w:val="lightGray"/>
              </w:rPr>
              <w:tab/>
              <w:t xml:space="preserve">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w:t>
            </w:r>
            <w:proofErr w:type="gramStart"/>
            <w:r w:rsidRPr="003B6FC3">
              <w:rPr>
                <w:highlight w:val="lightGray"/>
              </w:rPr>
              <w:t>taking into account</w:t>
            </w:r>
            <w:proofErr w:type="gramEnd"/>
            <w:r w:rsidRPr="003B6FC3">
              <w:rPr>
                <w:highlight w:val="lightGray"/>
              </w:rPr>
              <w:t xml:space="preserve"> the lower values defined in this clause. The test case will be applicable for the subset of the test systems meeting this reduced MU Threshold.</w:t>
            </w:r>
          </w:p>
        </w:tc>
      </w:tr>
    </w:tbl>
    <w:p w:rsidR="003B6FC3" w:rsidRDefault="003B6FC3" w:rsidP="001B5DBC"/>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3B6FC3" w:rsidRDefault="003B6FC3" w:rsidP="003B6FC3">
      <w:r>
        <w:t xml:space="preserve">As we can see from the extract above, the Threshold MU value is only defined for certain conditions: </w:t>
      </w:r>
    </w:p>
    <w:p w:rsidR="003B6FC3" w:rsidRDefault="003B6FC3" w:rsidP="003B6FC3">
      <w:pPr>
        <w:pStyle w:val="ListParagraph"/>
        <w:numPr>
          <w:ilvl w:val="0"/>
          <w:numId w:val="31"/>
        </w:numPr>
      </w:pPr>
      <w:r>
        <w:t>PC3 devices</w:t>
      </w:r>
    </w:p>
    <w:p w:rsidR="003B6FC3" w:rsidRDefault="003B6FC3" w:rsidP="003B6FC3">
      <w:pPr>
        <w:pStyle w:val="ListParagraph"/>
        <w:numPr>
          <w:ilvl w:val="0"/>
          <w:numId w:val="31"/>
        </w:numPr>
      </w:pPr>
      <w:r>
        <w:t>f &lt;= 40.8 GHz</w:t>
      </w:r>
    </w:p>
    <w:p w:rsidR="003B6FC3" w:rsidRDefault="003B6FC3" w:rsidP="003B6FC3">
      <w:pPr>
        <w:pStyle w:val="ListParagraph"/>
        <w:numPr>
          <w:ilvl w:val="0"/>
          <w:numId w:val="31"/>
        </w:numPr>
      </w:pPr>
      <w:r>
        <w:t xml:space="preserve">Normal conditions. Extreme temperature conditions will require a </w:t>
      </w:r>
      <w:proofErr w:type="spellStart"/>
      <w:r>
        <w:t>separater</w:t>
      </w:r>
      <w:proofErr w:type="spellEnd"/>
      <w:r>
        <w:t xml:space="preserve"> analysis, as it is being conducted already for RF.</w:t>
      </w:r>
    </w:p>
    <w:p w:rsidR="00861CDE" w:rsidRDefault="003B6FC3" w:rsidP="001B5DBC">
      <w:r w:rsidRPr="003B6FC3">
        <w:rPr>
          <w:b/>
        </w:rPr>
        <w:lastRenderedPageBreak/>
        <w:t>Observation 1</w:t>
      </w:r>
      <w:r>
        <w:rPr>
          <w:b/>
        </w:rPr>
        <w:t xml:space="preserve">: </w:t>
      </w:r>
      <w:r>
        <w:t>The DL AWGN MU is only defined (so far) for PC3 devices, f &lt;= 40.8 GHz and normal conditions.</w:t>
      </w:r>
    </w:p>
    <w:p w:rsidR="003B6FC3" w:rsidRDefault="003B6FC3" w:rsidP="001B5DBC">
      <w:r>
        <w:t>The TT analyses conducted for each RRM test case are applicable so far only for PC3 devices, as stated in the TT analysis docs and excels attached to [1].</w:t>
      </w:r>
    </w:p>
    <w:p w:rsidR="003B6FC3" w:rsidRDefault="003B6FC3" w:rsidP="001B5DBC">
      <w:r w:rsidRPr="003B6FC3">
        <w:rPr>
          <w:b/>
        </w:rPr>
        <w:t xml:space="preserve">Observation </w:t>
      </w:r>
      <w:r>
        <w:rPr>
          <w:b/>
        </w:rPr>
        <w:t xml:space="preserve">2: </w:t>
      </w:r>
      <w:r w:rsidRPr="003B6FC3">
        <w:t>The TT analysis docs and spreadsheets explicitly refer to PC3.</w:t>
      </w:r>
    </w:p>
    <w:p w:rsidR="003B6FC3" w:rsidRDefault="003B6FC3" w:rsidP="003B6FC3">
      <w:r>
        <w:t xml:space="preserve">However, the TT analysis presented so far do not include any reference to the applicable frequency for the DL AWGN MU. From first RF results, it seems likely that higher frequency bands (e.g. n259 or n262) will have a larger DL AWGN MU. Therefore, the applicable frequency for the TT analysis should be explicitly mentioned in the TT analysis doc and spreadsheet. An example on how to do that is provided in [2]: </w:t>
      </w:r>
    </w:p>
    <w:p w:rsidR="003B6FC3" w:rsidRDefault="003B6FC3" w:rsidP="003B6FC3"/>
    <w:p w:rsidR="003B6FC3" w:rsidRPr="003B6FC3" w:rsidRDefault="003B6FC3" w:rsidP="003B6FC3">
      <w:pPr>
        <w:autoSpaceDE w:val="0"/>
        <w:autoSpaceDN w:val="0"/>
        <w:adjustRightInd w:val="0"/>
        <w:spacing w:before="120"/>
        <w:jc w:val="both"/>
        <w:rPr>
          <w:rFonts w:ascii="Arial" w:eastAsia="SimSun" w:hAnsi="Arial"/>
          <w:highlight w:val="lightGray"/>
          <w:u w:val="single"/>
        </w:rPr>
      </w:pPr>
      <w:r w:rsidRPr="003B6FC3">
        <w:rPr>
          <w:rFonts w:ascii="Arial" w:eastAsia="SimSun" w:hAnsi="Arial"/>
          <w:highlight w:val="lightGray"/>
          <w:u w:val="single"/>
        </w:rPr>
        <w:t>c) Uncertainties</w:t>
      </w:r>
    </w:p>
    <w:p w:rsidR="003B6FC3" w:rsidRPr="003B6FC3" w:rsidRDefault="003B6FC3" w:rsidP="003B6FC3">
      <w:pPr>
        <w:jc w:val="both"/>
        <w:rPr>
          <w:rFonts w:ascii="Arial" w:hAnsi="Arial"/>
          <w:highlight w:val="lightGray"/>
        </w:rPr>
      </w:pPr>
      <w:r w:rsidRPr="003B6FC3">
        <w:rPr>
          <w:rFonts w:ascii="Arial" w:hAnsi="Arial"/>
          <w:highlight w:val="lightGray"/>
        </w:rPr>
        <w:t>In T1, the Test system provides 2 cells on 1 frequency, with AWGN. We propose to control the following parameters:</w:t>
      </w:r>
    </w:p>
    <w:p w:rsidR="003B6FC3" w:rsidRPr="003B6FC3" w:rsidRDefault="003B6FC3" w:rsidP="003B6FC3">
      <w:pPr>
        <w:numPr>
          <w:ilvl w:val="0"/>
          <w:numId w:val="32"/>
        </w:numPr>
        <w:autoSpaceDE w:val="0"/>
        <w:autoSpaceDN w:val="0"/>
        <w:adjustRightInd w:val="0"/>
        <w:spacing w:after="60" w:line="240" w:lineRule="auto"/>
        <w:jc w:val="both"/>
        <w:rPr>
          <w:rFonts w:ascii="Arial" w:hAnsi="Arial"/>
          <w:highlight w:val="lightGray"/>
        </w:rPr>
      </w:pPr>
      <w:r w:rsidRPr="003B6FC3">
        <w:rPr>
          <w:rFonts w:ascii="Arial" w:hAnsi="Arial"/>
          <w:highlight w:val="lightGray"/>
        </w:rPr>
        <w:t xml:space="preserve">AWGN Absolute power, </w:t>
      </w:r>
      <w:proofErr w:type="spellStart"/>
      <w:r w:rsidRPr="003B6FC3">
        <w:rPr>
          <w:rFonts w:ascii="Arial" w:hAnsi="Arial"/>
          <w:highlight w:val="lightGray"/>
        </w:rPr>
        <w:t>N</w:t>
      </w:r>
      <w:r w:rsidRPr="003B6FC3">
        <w:rPr>
          <w:rFonts w:ascii="Arial" w:hAnsi="Arial"/>
          <w:highlight w:val="lightGray"/>
          <w:vertAlign w:val="subscript"/>
        </w:rPr>
        <w:t>oc</w:t>
      </w:r>
      <w:proofErr w:type="spellEnd"/>
      <w:r w:rsidRPr="003B6FC3">
        <w:rPr>
          <w:rFonts w:ascii="Arial" w:hAnsi="Arial"/>
          <w:noProof/>
          <w:highlight w:val="lightGray"/>
        </w:rPr>
        <w:t xml:space="preserve"> </w:t>
      </w:r>
      <w:r w:rsidRPr="003B6FC3">
        <w:rPr>
          <w:rFonts w:ascii="Arial" w:hAnsi="Arial" w:cs="Arial"/>
          <w:highlight w:val="lightGray"/>
        </w:rPr>
        <w:t xml:space="preserve">averaged over </w:t>
      </w:r>
      <w:proofErr w:type="spellStart"/>
      <w:r w:rsidRPr="003B6FC3">
        <w:rPr>
          <w:rFonts w:ascii="Arial" w:hAnsi="Arial" w:cs="Arial"/>
          <w:highlight w:val="lightGray"/>
        </w:rPr>
        <w:t>BW</w:t>
      </w:r>
      <w:r w:rsidRPr="003B6FC3">
        <w:rPr>
          <w:rFonts w:ascii="Arial" w:hAnsi="Arial" w:cs="Arial"/>
          <w:highlight w:val="lightGray"/>
          <w:vertAlign w:val="subscript"/>
        </w:rPr>
        <w:t>Config</w:t>
      </w:r>
      <w:proofErr w:type="spellEnd"/>
      <w:r w:rsidRPr="003B6FC3">
        <w:rPr>
          <w:rFonts w:ascii="Arial" w:hAnsi="Arial"/>
          <w:highlight w:val="lightGray"/>
        </w:rPr>
        <w:t xml:space="preserve"> </w:t>
      </w:r>
      <w:r w:rsidRPr="003B6FC3">
        <w:rPr>
          <w:rFonts w:ascii="Arial" w:hAnsi="Arial" w:hint="eastAsia"/>
          <w:highlight w:val="lightGray"/>
        </w:rPr>
        <w:t xml:space="preserve">uncertainty: </w:t>
      </w:r>
      <w:r w:rsidRPr="003B6FC3">
        <w:rPr>
          <w:rFonts w:ascii="Arial" w:hAnsi="Arial"/>
          <w:noProof/>
          <w:highlight w:val="lightGray"/>
          <w:lang w:eastAsia="sv-SE"/>
        </w:rPr>
        <w:t>±</w:t>
      </w:r>
      <w:r w:rsidRPr="003B6FC3">
        <w:rPr>
          <w:rFonts w:ascii="Arial" w:hAnsi="Arial"/>
          <w:noProof/>
          <w:highlight w:val="lightGray"/>
        </w:rPr>
        <w:t>5.65</w:t>
      </w:r>
      <w:r w:rsidRPr="003B6FC3">
        <w:rPr>
          <w:rFonts w:ascii="Arial" w:hAnsi="Arial"/>
          <w:noProof/>
          <w:highlight w:val="yellow"/>
        </w:rPr>
        <w:t xml:space="preserve">* </w:t>
      </w:r>
      <w:r w:rsidRPr="003B6FC3">
        <w:rPr>
          <w:rFonts w:ascii="Arial" w:hAnsi="Arial"/>
          <w:noProof/>
          <w:highlight w:val="lightGray"/>
        </w:rPr>
        <w:t>dB</w:t>
      </w:r>
    </w:p>
    <w:p w:rsidR="003B6FC3" w:rsidRDefault="003B6FC3" w:rsidP="003B6FC3">
      <w:r>
        <w:t>…</w:t>
      </w:r>
    </w:p>
    <w:p w:rsidR="003B6FC3" w:rsidRDefault="003B6FC3" w:rsidP="003B6FC3">
      <w:pPr>
        <w:jc w:val="both"/>
        <w:rPr>
          <w:rFonts w:ascii="Arial" w:hAnsi="Arial"/>
        </w:rPr>
      </w:pPr>
      <w:bookmarkStart w:id="5" w:name="_Hlk70943516"/>
      <w:r w:rsidRPr="003B6FC3">
        <w:rPr>
          <w:rFonts w:ascii="Arial" w:hAnsi="Arial"/>
          <w:highlight w:val="lightGray"/>
        </w:rPr>
        <w:t xml:space="preserve">*These values are </w:t>
      </w:r>
      <w:r w:rsidRPr="003B6FC3">
        <w:rPr>
          <w:rFonts w:ascii="Arial" w:hAnsi="Arial"/>
          <w:highlight w:val="yellow"/>
        </w:rPr>
        <w:t xml:space="preserve">applicable for </w:t>
      </w:r>
      <w:bookmarkStart w:id="6" w:name="_Hlk70943666"/>
      <w:r w:rsidRPr="003B6FC3">
        <w:rPr>
          <w:rFonts w:ascii="Arial" w:hAnsi="Arial"/>
          <w:highlight w:val="yellow"/>
        </w:rPr>
        <w:t>frequencies &lt;= 40.8 GHz.</w:t>
      </w:r>
      <w:bookmarkEnd w:id="6"/>
    </w:p>
    <w:bookmarkEnd w:id="5"/>
    <w:p w:rsidR="003B6FC3" w:rsidRDefault="003B6FC3" w:rsidP="003B6FC3"/>
    <w:p w:rsidR="00750DBD" w:rsidRDefault="00750DBD" w:rsidP="003B6FC3">
      <w:r w:rsidRPr="00750DBD">
        <w:rPr>
          <w:b/>
        </w:rPr>
        <w:t xml:space="preserve">Proposal 1: </w:t>
      </w:r>
      <w:r>
        <w:t xml:space="preserve">the TT analysis doc and spreadsheets should include </w:t>
      </w:r>
      <w:proofErr w:type="gramStart"/>
      <w:r>
        <w:t>a</w:t>
      </w:r>
      <w:proofErr w:type="gramEnd"/>
      <w:r>
        <w:t xml:space="preserve"> explicit reference to the applicable frequency, for example as done in [2].</w:t>
      </w:r>
    </w:p>
    <w:p w:rsidR="00750DBD" w:rsidRDefault="00750DBD" w:rsidP="003B6FC3">
      <w:r>
        <w:t>Nonetheless, most of the readers of the specification will not dive in the TT analysis zip files. There should be an easy to way to identify in TS 38.533 the configuration for which test cases are completed. This could be done in a centralized way (i.e. in a common section for all FR2 test cases) or on a testcase basis. However, supporting new frequencies, different UE power classes or extreme conditions will need the TT analysis to be updated or enhanced. Having the summary of what is completed in every test case will help in the future to have a clear picture of which test cases still need a TT analysis update.</w:t>
      </w:r>
    </w:p>
    <w:p w:rsidR="00750DBD" w:rsidRDefault="00750DBD" w:rsidP="003B6FC3">
      <w:r w:rsidRPr="003B6FC3">
        <w:rPr>
          <w:b/>
        </w:rPr>
        <w:t xml:space="preserve">Observation </w:t>
      </w:r>
      <w:r>
        <w:rPr>
          <w:b/>
        </w:rPr>
        <w:t xml:space="preserve">3: </w:t>
      </w:r>
      <w:r>
        <w:t>Supporting new frequencies or UE power classes will require an updated TT analysis for each test case. Therefore, having an indication of what is missing in the test case level will help maintaining the spec in the future.</w:t>
      </w:r>
    </w:p>
    <w:p w:rsidR="00750DBD" w:rsidRDefault="00750DBD" w:rsidP="003B6FC3">
      <w:r w:rsidRPr="00750DBD">
        <w:rPr>
          <w:b/>
        </w:rPr>
        <w:t xml:space="preserve">Proposal 2: </w:t>
      </w:r>
      <w:r>
        <w:t>Include the test case completion information in every test case.</w:t>
      </w:r>
    </w:p>
    <w:p w:rsidR="00750DBD" w:rsidRDefault="00750DBD" w:rsidP="003B6FC3">
      <w:r>
        <w:t>The usual way to do this would be to add an Editor’s Note under the test case header indicating what’s left to be done. However, an Editor’s note is seen typically as “Test case is incomplete”. In this case, the test case is complete, and the future enhancements affect only specific bands or configurations. Therefore, the proposal is to include a summary table instead:</w:t>
      </w:r>
    </w:p>
    <w:p w:rsidR="00750DBD" w:rsidRPr="001758B9" w:rsidRDefault="00750DBD" w:rsidP="001758B9">
      <w:pPr>
        <w:pStyle w:val="Caption"/>
        <w:jc w:val="center"/>
        <w:rPr>
          <w:color w:val="auto"/>
          <w:sz w:val="20"/>
        </w:rPr>
      </w:pPr>
      <w:r w:rsidRPr="001758B9">
        <w:rPr>
          <w:color w:val="auto"/>
          <w:sz w:val="20"/>
        </w:rPr>
        <w:t>Table 1: Test case completion status</w:t>
      </w:r>
    </w:p>
    <w:tbl>
      <w:tblPr>
        <w:tblStyle w:val="RS-ColoredTable"/>
        <w:tblW w:w="0" w:type="auto"/>
        <w:tblLook w:val="04A0" w:firstRow="1" w:lastRow="0" w:firstColumn="1" w:lastColumn="0" w:noHBand="0" w:noVBand="1"/>
      </w:tblPr>
      <w:tblGrid>
        <w:gridCol w:w="4833"/>
        <w:gridCol w:w="4834"/>
      </w:tblGrid>
      <w:tr w:rsidR="00750DBD" w:rsidTr="00750D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33" w:type="dxa"/>
          </w:tcPr>
          <w:p w:rsidR="00750DBD" w:rsidRDefault="001758B9" w:rsidP="003B6FC3">
            <w:r>
              <w:t>Parameter</w:t>
            </w:r>
          </w:p>
        </w:tc>
        <w:tc>
          <w:tcPr>
            <w:tcW w:w="4834" w:type="dxa"/>
          </w:tcPr>
          <w:p w:rsidR="00750DBD" w:rsidRDefault="001758B9" w:rsidP="003B6FC3">
            <w:pPr>
              <w:cnfStyle w:val="100000000000" w:firstRow="1" w:lastRow="0" w:firstColumn="0" w:lastColumn="0" w:oddVBand="0" w:evenVBand="0" w:oddHBand="0" w:evenHBand="0" w:firstRowFirstColumn="0" w:firstRowLastColumn="0" w:lastRowFirstColumn="0" w:lastRowLastColumn="0"/>
            </w:pPr>
            <w:r>
              <w:t>Completed for</w:t>
            </w:r>
          </w:p>
        </w:tc>
      </w:tr>
      <w:tr w:rsidR="00750DBD" w:rsidTr="00750DBD">
        <w:tc>
          <w:tcPr>
            <w:cnfStyle w:val="001000000000" w:firstRow="0" w:lastRow="0" w:firstColumn="1" w:lastColumn="0" w:oddVBand="0" w:evenVBand="0" w:oddHBand="0" w:evenHBand="0" w:firstRowFirstColumn="0" w:firstRowLastColumn="0" w:lastRowFirstColumn="0" w:lastRowLastColumn="0"/>
            <w:tcW w:w="4833" w:type="dxa"/>
          </w:tcPr>
          <w:p w:rsidR="00750DBD" w:rsidRDefault="001758B9" w:rsidP="003B6FC3">
            <w:r>
              <w:t>Frequency</w:t>
            </w:r>
          </w:p>
        </w:tc>
        <w:tc>
          <w:tcPr>
            <w:tcW w:w="4834" w:type="dxa"/>
          </w:tcPr>
          <w:p w:rsidR="00750DBD" w:rsidRDefault="001758B9" w:rsidP="003B6FC3">
            <w:pPr>
              <w:cnfStyle w:val="000000000000" w:firstRow="0" w:lastRow="0" w:firstColumn="0" w:lastColumn="0" w:oddVBand="0" w:evenVBand="0" w:oddHBand="0" w:evenHBand="0" w:firstRowFirstColumn="0" w:firstRowLastColumn="0" w:lastRowFirstColumn="0" w:lastRowLastColumn="0"/>
            </w:pPr>
            <w:r>
              <w:t>f &lt;= 40.8 GHz</w:t>
            </w:r>
          </w:p>
        </w:tc>
      </w:tr>
      <w:tr w:rsidR="00750DBD" w:rsidTr="00750DB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33" w:type="dxa"/>
          </w:tcPr>
          <w:p w:rsidR="00750DBD" w:rsidRDefault="001758B9" w:rsidP="003B6FC3">
            <w:r>
              <w:t>UE Power Class</w:t>
            </w:r>
          </w:p>
        </w:tc>
        <w:tc>
          <w:tcPr>
            <w:tcW w:w="4834" w:type="dxa"/>
          </w:tcPr>
          <w:p w:rsidR="00750DBD" w:rsidRDefault="001758B9" w:rsidP="003B6FC3">
            <w:pPr>
              <w:cnfStyle w:val="000000010000" w:firstRow="0" w:lastRow="0" w:firstColumn="0" w:lastColumn="0" w:oddVBand="0" w:evenVBand="0" w:oddHBand="0" w:evenHBand="1" w:firstRowFirstColumn="0" w:firstRowLastColumn="0" w:lastRowFirstColumn="0" w:lastRowLastColumn="0"/>
            </w:pPr>
            <w:r>
              <w:t>PC3</w:t>
            </w:r>
          </w:p>
        </w:tc>
      </w:tr>
      <w:tr w:rsidR="00750DBD" w:rsidTr="00750DBD">
        <w:tc>
          <w:tcPr>
            <w:cnfStyle w:val="001000000000" w:firstRow="0" w:lastRow="0" w:firstColumn="1" w:lastColumn="0" w:oddVBand="0" w:evenVBand="0" w:oddHBand="0" w:evenHBand="0" w:firstRowFirstColumn="0" w:firstRowLastColumn="0" w:lastRowFirstColumn="0" w:lastRowLastColumn="0"/>
            <w:tcW w:w="4833" w:type="dxa"/>
          </w:tcPr>
          <w:p w:rsidR="00750DBD" w:rsidRDefault="001758B9" w:rsidP="003B6FC3">
            <w:r>
              <w:t>Other</w:t>
            </w:r>
          </w:p>
        </w:tc>
        <w:tc>
          <w:tcPr>
            <w:tcW w:w="4834" w:type="dxa"/>
          </w:tcPr>
          <w:p w:rsidR="00750DBD" w:rsidRDefault="001758B9" w:rsidP="003B6FC3">
            <w:pPr>
              <w:cnfStyle w:val="000000000000" w:firstRow="0" w:lastRow="0" w:firstColumn="0" w:lastColumn="0" w:oddVBand="0" w:evenVBand="0" w:oddHBand="0" w:evenHBand="0" w:firstRowFirstColumn="0" w:firstRowLastColumn="0" w:lastRowFirstColumn="0" w:lastRowLastColumn="0"/>
            </w:pPr>
            <w:r>
              <w:t>Normal conditions</w:t>
            </w:r>
          </w:p>
        </w:tc>
      </w:tr>
    </w:tbl>
    <w:p w:rsidR="00750DBD" w:rsidRDefault="00750DBD" w:rsidP="003B6FC3"/>
    <w:p w:rsidR="00750DBD" w:rsidRDefault="001758B9" w:rsidP="003B6FC3">
      <w:r w:rsidRPr="00750DBD">
        <w:rPr>
          <w:b/>
        </w:rPr>
        <w:t xml:space="preserve">Proposal </w:t>
      </w:r>
      <w:r>
        <w:rPr>
          <w:b/>
        </w:rPr>
        <w:t>3</w:t>
      </w:r>
      <w:r w:rsidRPr="00750DBD">
        <w:rPr>
          <w:b/>
        </w:rPr>
        <w:t>:</w:t>
      </w:r>
      <w:r>
        <w:rPr>
          <w:b/>
        </w:rPr>
        <w:t xml:space="preserve"> </w:t>
      </w:r>
      <w:r w:rsidRPr="001758B9">
        <w:t>Include Table 1 in the test case applicability (x.y.z.2) for all RRM FR2 test cases</w:t>
      </w:r>
    </w:p>
    <w:p w:rsidR="001758B9" w:rsidRPr="001758B9" w:rsidRDefault="001758B9" w:rsidP="003B6FC3">
      <w:r w:rsidRPr="001758B9">
        <w:rPr>
          <w:b/>
        </w:rPr>
        <w:t xml:space="preserve">Proposal 4: </w:t>
      </w:r>
      <w:r>
        <w:t>In Annex F.1, indicate the validity of the DL AWGN MU explicitly</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lastRenderedPageBreak/>
        <w:t>Conclusion</w:t>
      </w:r>
    </w:p>
    <w:p w:rsidR="001758B9" w:rsidRDefault="001758B9" w:rsidP="001758B9">
      <w:r w:rsidRPr="00750DBD">
        <w:rPr>
          <w:b/>
        </w:rPr>
        <w:t xml:space="preserve">Proposal 1: </w:t>
      </w:r>
      <w:r>
        <w:t xml:space="preserve">the TT analysis doc and spreadsheets should include </w:t>
      </w:r>
      <w:proofErr w:type="spellStart"/>
      <w:proofErr w:type="gramStart"/>
      <w:r>
        <w:t>a</w:t>
      </w:r>
      <w:proofErr w:type="spellEnd"/>
      <w:proofErr w:type="gramEnd"/>
      <w:r>
        <w:t xml:space="preserve"> explicit reference to the applicable frequency, for example as done in [2].</w:t>
      </w:r>
    </w:p>
    <w:p w:rsidR="001758B9" w:rsidRDefault="001758B9" w:rsidP="001758B9">
      <w:r w:rsidRPr="00750DBD">
        <w:rPr>
          <w:b/>
        </w:rPr>
        <w:t xml:space="preserve">Proposal 2: </w:t>
      </w:r>
      <w:r>
        <w:t>Include the test case completion information in every test case.</w:t>
      </w:r>
    </w:p>
    <w:p w:rsidR="001758B9" w:rsidRDefault="001758B9" w:rsidP="001758B9">
      <w:r w:rsidRPr="00750DBD">
        <w:rPr>
          <w:b/>
        </w:rPr>
        <w:t xml:space="preserve">Proposal </w:t>
      </w:r>
      <w:r>
        <w:rPr>
          <w:b/>
        </w:rPr>
        <w:t>3</w:t>
      </w:r>
      <w:r w:rsidRPr="00750DBD">
        <w:rPr>
          <w:b/>
        </w:rPr>
        <w:t>:</w:t>
      </w:r>
      <w:r>
        <w:rPr>
          <w:b/>
        </w:rPr>
        <w:t xml:space="preserve"> </w:t>
      </w:r>
      <w:r w:rsidRPr="001758B9">
        <w:t>Include Table 1 in the test case applicability (x.y.z</w:t>
      </w:r>
      <w:r w:rsidRPr="001758B9">
        <w:rPr>
          <w:b/>
        </w:rPr>
        <w:t>.2</w:t>
      </w:r>
      <w:r w:rsidRPr="001758B9">
        <w:t>) for all RRM FR2 test cases</w:t>
      </w:r>
    </w:p>
    <w:p w:rsidR="001758B9" w:rsidRPr="001758B9" w:rsidRDefault="001758B9" w:rsidP="001758B9">
      <w:r w:rsidRPr="001758B9">
        <w:rPr>
          <w:b/>
        </w:rPr>
        <w:t xml:space="preserve">Proposal 4: </w:t>
      </w:r>
      <w:r>
        <w:t>In Annex F.1, indicate the validity of the DL AWGN MU explicitly</w:t>
      </w:r>
    </w:p>
    <w:p w:rsidR="001758B9" w:rsidRPr="00750DBD" w:rsidRDefault="001758B9" w:rsidP="001758B9">
      <w:r>
        <w:t>Proposals 3 and 4 are implemented as example in [3] and [4].</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Default="001A530E" w:rsidP="001A530E">
      <w:pPr>
        <w:numPr>
          <w:ilvl w:val="0"/>
          <w:numId w:val="30"/>
        </w:numPr>
        <w:tabs>
          <w:tab w:val="left" w:pos="426"/>
        </w:tabs>
        <w:overflowPunct w:val="0"/>
        <w:autoSpaceDE w:val="0"/>
        <w:autoSpaceDN w:val="0"/>
        <w:adjustRightInd w:val="0"/>
        <w:spacing w:after="180" w:line="240" w:lineRule="auto"/>
        <w:textAlignment w:val="baseline"/>
      </w:pPr>
      <w:r>
        <w:t>T</w:t>
      </w:r>
      <w:r w:rsidR="003B6FC3">
        <w:t>R</w:t>
      </w:r>
      <w:r>
        <w:t xml:space="preserve"> 38.</w:t>
      </w:r>
      <w:r w:rsidR="003B6FC3">
        <w:t>903</w:t>
      </w:r>
      <w:r>
        <w:t>, “</w:t>
      </w:r>
      <w:r w:rsidR="003B6FC3" w:rsidRPr="003B6FC3">
        <w:t>Derivation of test tolerances and measurement uncertainty for User Equipment (UE) conformance test cases</w:t>
      </w:r>
      <w:r>
        <w:t>”</w:t>
      </w:r>
    </w:p>
    <w:p w:rsidR="00861CDE" w:rsidRDefault="003B6FC3" w:rsidP="001758B9">
      <w:pPr>
        <w:pStyle w:val="CRCoverPage"/>
        <w:spacing w:after="0"/>
        <w:rPr>
          <w:lang w:val="de-DE"/>
        </w:rPr>
      </w:pPr>
      <w:r w:rsidRPr="003B6FC3">
        <w:rPr>
          <w:lang w:val="de-DE"/>
        </w:rPr>
        <w:t>[2]</w:t>
      </w:r>
      <w:r w:rsidRPr="003B6FC3">
        <w:rPr>
          <w:lang w:val="de-DE"/>
        </w:rPr>
        <w:tab/>
        <w:t>R5-212021, “</w:t>
      </w:r>
      <w:r>
        <w:fldChar w:fldCharType="begin"/>
      </w:r>
      <w:r w:rsidRPr="003B6FC3">
        <w:rPr>
          <w:lang w:val="de-DE"/>
        </w:rPr>
        <w:instrText xml:space="preserve"> DOCPROPERTY  CrTitle  \* MERGEFORMAT </w:instrText>
      </w:r>
      <w:r>
        <w:fldChar w:fldCharType="separate"/>
      </w:r>
      <w:r w:rsidRPr="003B6FC3">
        <w:rPr>
          <w:lang w:val="de-DE"/>
        </w:rPr>
        <w:t xml:space="preserve">Update TT </w:t>
      </w:r>
      <w:proofErr w:type="spellStart"/>
      <w:r w:rsidRPr="003B6FC3">
        <w:rPr>
          <w:lang w:val="de-DE"/>
        </w:rPr>
        <w:t>analysis</w:t>
      </w:r>
      <w:proofErr w:type="spellEnd"/>
      <w:r w:rsidRPr="003B6FC3">
        <w:rPr>
          <w:lang w:val="de-DE"/>
        </w:rPr>
        <w:t xml:space="preserve"> </w:t>
      </w:r>
      <w:proofErr w:type="spellStart"/>
      <w:r w:rsidRPr="003B6FC3">
        <w:rPr>
          <w:lang w:val="de-DE"/>
        </w:rPr>
        <w:t>for</w:t>
      </w:r>
      <w:proofErr w:type="spellEnd"/>
      <w:r w:rsidRPr="003B6FC3">
        <w:rPr>
          <w:lang w:val="de-DE"/>
        </w:rPr>
        <w:t xml:space="preserve"> 5.7.1.1</w:t>
      </w:r>
      <w:r>
        <w:fldChar w:fldCharType="end"/>
      </w:r>
      <w:r w:rsidRPr="003B6FC3">
        <w:rPr>
          <w:lang w:val="de-DE"/>
        </w:rPr>
        <w:t>”, Rohde &amp; Schwarz</w:t>
      </w:r>
      <w:r>
        <w:rPr>
          <w:lang w:val="de-DE"/>
        </w:rPr>
        <w:t>, RAN5 #91</w:t>
      </w:r>
      <w:r w:rsidR="00750DBD">
        <w:rPr>
          <w:lang w:val="de-DE"/>
        </w:rPr>
        <w:t>-e</w:t>
      </w:r>
    </w:p>
    <w:p w:rsidR="001758B9" w:rsidRPr="001758B9" w:rsidRDefault="001758B9" w:rsidP="001758B9">
      <w:pPr>
        <w:pStyle w:val="CRCoverPage"/>
        <w:spacing w:after="0"/>
        <w:rPr>
          <w:noProof/>
          <w:lang w:val="en-US"/>
        </w:rPr>
      </w:pPr>
      <w:r w:rsidRPr="001758B9">
        <w:rPr>
          <w:lang w:val="en-US"/>
        </w:rPr>
        <w:t>[3]</w:t>
      </w:r>
      <w:r w:rsidRPr="001758B9">
        <w:rPr>
          <w:lang w:val="en-US"/>
        </w:rPr>
        <w:tab/>
        <w:t>R5-21</w:t>
      </w:r>
      <w:r w:rsidR="00275FEA">
        <w:rPr>
          <w:lang w:val="en-US"/>
        </w:rPr>
        <w:t>3106</w:t>
      </w:r>
      <w:r w:rsidRPr="001758B9">
        <w:rPr>
          <w:lang w:val="en-US"/>
        </w:rPr>
        <w:t xml:space="preserve">, </w:t>
      </w:r>
      <w:proofErr w:type="gramStart"/>
      <w:r w:rsidRPr="001758B9">
        <w:rPr>
          <w:lang w:val="en-US"/>
        </w:rPr>
        <w:t>“</w:t>
      </w:r>
      <w:r w:rsidRPr="001758B9">
        <w:t xml:space="preserve"> Adapt</w:t>
      </w:r>
      <w:proofErr w:type="gramEnd"/>
      <w:r w:rsidRPr="001758B9">
        <w:t xml:space="preserve"> RRM FR2 test cases to indicate applicability of the TT analysis results</w:t>
      </w:r>
      <w:r w:rsidRPr="001758B9">
        <w:rPr>
          <w:lang w:val="en-US"/>
        </w:rPr>
        <w:t>”, Rohde &amp; Schwarz, RAN5 #91-e</w:t>
      </w:r>
    </w:p>
    <w:p w:rsidR="001758B9" w:rsidRPr="001758B9" w:rsidRDefault="001758B9" w:rsidP="001758B9">
      <w:pPr>
        <w:pStyle w:val="CRCoverPage"/>
        <w:spacing w:after="0"/>
        <w:rPr>
          <w:noProof/>
          <w:lang w:val="en-US"/>
        </w:rPr>
      </w:pPr>
      <w:r w:rsidRPr="001758B9">
        <w:rPr>
          <w:lang w:val="en-US"/>
        </w:rPr>
        <w:t>[4]</w:t>
      </w:r>
      <w:r w:rsidRPr="001758B9">
        <w:rPr>
          <w:lang w:val="en-US"/>
        </w:rPr>
        <w:tab/>
        <w:t>R5-21</w:t>
      </w:r>
      <w:r w:rsidR="00275FEA">
        <w:rPr>
          <w:lang w:val="en-US"/>
        </w:rPr>
        <w:t>3107</w:t>
      </w:r>
      <w:bookmarkStart w:id="7" w:name="_GoBack"/>
      <w:bookmarkEnd w:id="7"/>
      <w:r w:rsidRPr="001758B9">
        <w:rPr>
          <w:lang w:val="en-US"/>
        </w:rPr>
        <w:t>, “</w:t>
      </w:r>
      <w:r w:rsidRPr="001758B9">
        <w:t xml:space="preserve"> Adapt Annex F to indicate applicability of the RRM FR2 TT analysis results</w:t>
      </w:r>
      <w:r w:rsidRPr="001758B9">
        <w:rPr>
          <w:lang w:val="en-US"/>
        </w:rPr>
        <w:t>”, Rohde &amp; Schwarz, RAN5 #91-e</w:t>
      </w:r>
    </w:p>
    <w:p w:rsidR="001758B9" w:rsidRPr="001758B9" w:rsidRDefault="001758B9" w:rsidP="001758B9">
      <w:pPr>
        <w:pStyle w:val="CRCoverPage"/>
        <w:spacing w:after="0"/>
        <w:rPr>
          <w:noProof/>
          <w:lang w:val="en-US"/>
        </w:rPr>
      </w:pPr>
    </w:p>
    <w:sectPr w:rsidR="001758B9" w:rsidRPr="001758B9"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E65" w:rsidRDefault="00A34E65" w:rsidP="007D0431">
      <w:pPr>
        <w:spacing w:after="0" w:line="240" w:lineRule="auto"/>
      </w:pPr>
      <w:r>
        <w:separator/>
      </w:r>
    </w:p>
  </w:endnote>
  <w:endnote w:type="continuationSeparator" w:id="0">
    <w:p w:rsidR="00A34E65" w:rsidRDefault="00A34E65"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E65" w:rsidRDefault="00A34E65" w:rsidP="007D0431">
      <w:pPr>
        <w:spacing w:after="0" w:line="240" w:lineRule="auto"/>
      </w:pPr>
      <w:r>
        <w:separator/>
      </w:r>
    </w:p>
  </w:footnote>
  <w:footnote w:type="continuationSeparator" w:id="0">
    <w:p w:rsidR="00A34E65" w:rsidRDefault="00A34E65"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CD8441C"/>
    <w:multiLevelType w:val="multilevel"/>
    <w:tmpl w:val="1B04B730"/>
    <w:numStyleLink w:val="RSBullets"/>
  </w:abstractNum>
  <w:abstractNum w:abstractNumId="8"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9" w15:restartNumberingAfterBreak="0">
    <w:nsid w:val="2D2806D7"/>
    <w:multiLevelType w:val="multilevel"/>
    <w:tmpl w:val="1B04B730"/>
    <w:numStyleLink w:val="RSBullets"/>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64A6D1D"/>
    <w:multiLevelType w:val="multilevel"/>
    <w:tmpl w:val="1B04B730"/>
    <w:numStyleLink w:val="RSBullets"/>
  </w:abstractNum>
  <w:abstractNum w:abstractNumId="1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A29703A"/>
    <w:multiLevelType w:val="multilevel"/>
    <w:tmpl w:val="760620C0"/>
    <w:numStyleLink w:val="1ai"/>
  </w:abstractNum>
  <w:abstractNum w:abstractNumId="15"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C31123"/>
    <w:multiLevelType w:val="multilevel"/>
    <w:tmpl w:val="1B04B730"/>
    <w:numStyleLink w:val="RSBullets"/>
  </w:abstractNum>
  <w:abstractNum w:abstractNumId="25"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A56C02"/>
    <w:multiLevelType w:val="multilevel"/>
    <w:tmpl w:val="760620C0"/>
    <w:numStyleLink w:val="1ai"/>
  </w:abstractNum>
  <w:abstractNum w:abstractNumId="27" w15:restartNumberingAfterBreak="0">
    <w:nsid w:val="65BC23B4"/>
    <w:multiLevelType w:val="multilevel"/>
    <w:tmpl w:val="1B04B730"/>
    <w:numStyleLink w:val="RSBullets"/>
  </w:abstractNum>
  <w:abstractNum w:abstractNumId="28" w15:restartNumberingAfterBreak="0">
    <w:nsid w:val="74B3371E"/>
    <w:multiLevelType w:val="hybridMultilevel"/>
    <w:tmpl w:val="5B9E2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5"/>
  </w:num>
  <w:num w:numId="4">
    <w:abstractNumId w:val="11"/>
  </w:num>
  <w:num w:numId="5">
    <w:abstractNumId w:val="6"/>
  </w:num>
  <w:num w:numId="6">
    <w:abstractNumId w:val="4"/>
  </w:num>
  <w:num w:numId="7">
    <w:abstractNumId w:val="12"/>
  </w:num>
  <w:num w:numId="8">
    <w:abstractNumId w:val="22"/>
  </w:num>
  <w:num w:numId="9">
    <w:abstractNumId w:val="23"/>
  </w:num>
  <w:num w:numId="10">
    <w:abstractNumId w:val="3"/>
  </w:num>
  <w:num w:numId="11">
    <w:abstractNumId w:val="7"/>
  </w:num>
  <w:num w:numId="12">
    <w:abstractNumId w:val="9"/>
  </w:num>
  <w:num w:numId="13">
    <w:abstractNumId w:val="16"/>
  </w:num>
  <w:num w:numId="14">
    <w:abstractNumId w:val="19"/>
  </w:num>
  <w:num w:numId="15">
    <w:abstractNumId w:val="17"/>
  </w:num>
  <w:num w:numId="16">
    <w:abstractNumId w:val="25"/>
  </w:num>
  <w:num w:numId="17">
    <w:abstractNumId w:val="24"/>
  </w:num>
  <w:num w:numId="18">
    <w:abstractNumId w:val="27"/>
  </w:num>
  <w:num w:numId="19">
    <w:abstractNumId w:val="10"/>
  </w:num>
  <w:num w:numId="20">
    <w:abstractNumId w:val="14"/>
  </w:num>
  <w:num w:numId="21">
    <w:abstractNumId w:val="5"/>
  </w:num>
  <w:num w:numId="22">
    <w:abstractNumId w:val="5"/>
  </w:num>
  <w:num w:numId="23">
    <w:abstractNumId w:val="5"/>
  </w:num>
  <w:num w:numId="24">
    <w:abstractNumId w:val="0"/>
  </w:num>
  <w:num w:numId="25">
    <w:abstractNumId w:val="18"/>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28"/>
  </w:num>
  <w:num w:numId="3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85B3E"/>
    <w:rsid w:val="00093490"/>
    <w:rsid w:val="000A023B"/>
    <w:rsid w:val="000A69EA"/>
    <w:rsid w:val="000E35A6"/>
    <w:rsid w:val="0012030E"/>
    <w:rsid w:val="001233D7"/>
    <w:rsid w:val="0012408E"/>
    <w:rsid w:val="00132A51"/>
    <w:rsid w:val="001434ED"/>
    <w:rsid w:val="001459FA"/>
    <w:rsid w:val="001758B9"/>
    <w:rsid w:val="001772E2"/>
    <w:rsid w:val="00181DF3"/>
    <w:rsid w:val="00182481"/>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75FEA"/>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B6FC3"/>
    <w:rsid w:val="003C7723"/>
    <w:rsid w:val="003D68E5"/>
    <w:rsid w:val="003E7BA2"/>
    <w:rsid w:val="003F4EC7"/>
    <w:rsid w:val="0042429B"/>
    <w:rsid w:val="00463D89"/>
    <w:rsid w:val="00465C54"/>
    <w:rsid w:val="004827F4"/>
    <w:rsid w:val="004B14CB"/>
    <w:rsid w:val="004E7E35"/>
    <w:rsid w:val="004F1C5B"/>
    <w:rsid w:val="00500BA1"/>
    <w:rsid w:val="00503116"/>
    <w:rsid w:val="00520C26"/>
    <w:rsid w:val="00521709"/>
    <w:rsid w:val="00532390"/>
    <w:rsid w:val="00534070"/>
    <w:rsid w:val="0054297B"/>
    <w:rsid w:val="005433BF"/>
    <w:rsid w:val="00554991"/>
    <w:rsid w:val="0059369C"/>
    <w:rsid w:val="00594E12"/>
    <w:rsid w:val="005C77D0"/>
    <w:rsid w:val="005D51A4"/>
    <w:rsid w:val="005E286D"/>
    <w:rsid w:val="00630DB5"/>
    <w:rsid w:val="0064067F"/>
    <w:rsid w:val="00694C17"/>
    <w:rsid w:val="006B59CE"/>
    <w:rsid w:val="006D5DE8"/>
    <w:rsid w:val="006E77C0"/>
    <w:rsid w:val="007054F4"/>
    <w:rsid w:val="007366B5"/>
    <w:rsid w:val="007468E6"/>
    <w:rsid w:val="00750DBD"/>
    <w:rsid w:val="00757E33"/>
    <w:rsid w:val="00781E78"/>
    <w:rsid w:val="007A552B"/>
    <w:rsid w:val="007B5F72"/>
    <w:rsid w:val="007C5A1B"/>
    <w:rsid w:val="007D0431"/>
    <w:rsid w:val="007E3502"/>
    <w:rsid w:val="007E4F6F"/>
    <w:rsid w:val="007F7350"/>
    <w:rsid w:val="00806F61"/>
    <w:rsid w:val="00811938"/>
    <w:rsid w:val="00816E81"/>
    <w:rsid w:val="00861CDE"/>
    <w:rsid w:val="008922BC"/>
    <w:rsid w:val="008C1B71"/>
    <w:rsid w:val="008D3C8A"/>
    <w:rsid w:val="008E1D01"/>
    <w:rsid w:val="008E436F"/>
    <w:rsid w:val="008E7B7D"/>
    <w:rsid w:val="00900940"/>
    <w:rsid w:val="00910F48"/>
    <w:rsid w:val="00915BD2"/>
    <w:rsid w:val="009213E6"/>
    <w:rsid w:val="00927983"/>
    <w:rsid w:val="0094562B"/>
    <w:rsid w:val="00950F4E"/>
    <w:rsid w:val="00962C49"/>
    <w:rsid w:val="0099541E"/>
    <w:rsid w:val="009A7252"/>
    <w:rsid w:val="00A206B5"/>
    <w:rsid w:val="00A31A63"/>
    <w:rsid w:val="00A34E65"/>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94D6B"/>
    <w:rsid w:val="00BA08A1"/>
    <w:rsid w:val="00BB2BD9"/>
    <w:rsid w:val="00BE07D9"/>
    <w:rsid w:val="00BE46B9"/>
    <w:rsid w:val="00BE7460"/>
    <w:rsid w:val="00BF4658"/>
    <w:rsid w:val="00C154F0"/>
    <w:rsid w:val="00C1647C"/>
    <w:rsid w:val="00C30D53"/>
    <w:rsid w:val="00C314CC"/>
    <w:rsid w:val="00C33B71"/>
    <w:rsid w:val="00C34351"/>
    <w:rsid w:val="00C36D6F"/>
    <w:rsid w:val="00C40172"/>
    <w:rsid w:val="00C405F7"/>
    <w:rsid w:val="00C601F9"/>
    <w:rsid w:val="00C746EF"/>
    <w:rsid w:val="00C763E9"/>
    <w:rsid w:val="00C910F3"/>
    <w:rsid w:val="00C976AE"/>
    <w:rsid w:val="00CC6AF4"/>
    <w:rsid w:val="00CF1C34"/>
    <w:rsid w:val="00D054DD"/>
    <w:rsid w:val="00D2660B"/>
    <w:rsid w:val="00D31632"/>
    <w:rsid w:val="00D4734E"/>
    <w:rsid w:val="00D73A81"/>
    <w:rsid w:val="00D73B9E"/>
    <w:rsid w:val="00D86161"/>
    <w:rsid w:val="00D90EBF"/>
    <w:rsid w:val="00D94F1C"/>
    <w:rsid w:val="00DB0E64"/>
    <w:rsid w:val="00DD6721"/>
    <w:rsid w:val="00DE55BE"/>
    <w:rsid w:val="00E02069"/>
    <w:rsid w:val="00E032D7"/>
    <w:rsid w:val="00E07844"/>
    <w:rsid w:val="00E16837"/>
    <w:rsid w:val="00E32F3C"/>
    <w:rsid w:val="00E42BC3"/>
    <w:rsid w:val="00E74F38"/>
    <w:rsid w:val="00E82662"/>
    <w:rsid w:val="00E918F7"/>
    <w:rsid w:val="00E930FE"/>
    <w:rsid w:val="00EA62F3"/>
    <w:rsid w:val="00EB0D37"/>
    <w:rsid w:val="00EB26C6"/>
    <w:rsid w:val="00EE2244"/>
    <w:rsid w:val="00EE399B"/>
    <w:rsid w:val="00F107B8"/>
    <w:rsid w:val="00F32E03"/>
    <w:rsid w:val="00F46CD0"/>
    <w:rsid w:val="00F525C4"/>
    <w:rsid w:val="00F7627A"/>
    <w:rsid w:val="00F77D6D"/>
    <w:rsid w:val="00F9104F"/>
    <w:rsid w:val="00FA000F"/>
    <w:rsid w:val="00FA1760"/>
    <w:rsid w:val="00FA1BA3"/>
    <w:rsid w:val="00FA769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1BCC8"/>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8B9"/>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semiHidden/>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semiHidden/>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semiHidden/>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semiHidden/>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semiHidden/>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H">
    <w:name w:val="TAH"/>
    <w:basedOn w:val="TAC"/>
    <w:link w:val="TAHCar"/>
    <w:rsid w:val="003B6FC3"/>
    <w:rPr>
      <w:b/>
    </w:rPr>
  </w:style>
  <w:style w:type="paragraph" w:customStyle="1" w:styleId="TAC">
    <w:name w:val="TAC"/>
    <w:basedOn w:val="Normal"/>
    <w:link w:val="TACChar"/>
    <w:rsid w:val="003B6FC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lang w:val="en-GB" w:eastAsia="en-GB"/>
    </w:rPr>
  </w:style>
  <w:style w:type="paragraph" w:customStyle="1" w:styleId="TH">
    <w:name w:val="TH"/>
    <w:basedOn w:val="Normal"/>
    <w:link w:val="THChar"/>
    <w:rsid w:val="003B6FC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en-GB" w:eastAsia="en-GB"/>
    </w:rPr>
  </w:style>
  <w:style w:type="paragraph" w:customStyle="1" w:styleId="TAN">
    <w:name w:val="TAN"/>
    <w:basedOn w:val="Normal"/>
    <w:link w:val="TANChar"/>
    <w:rsid w:val="003B6FC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lang w:val="en-GB" w:eastAsia="en-GB"/>
    </w:rPr>
  </w:style>
  <w:style w:type="character" w:customStyle="1" w:styleId="THChar">
    <w:name w:val="TH Char"/>
    <w:link w:val="TH"/>
    <w:qFormat/>
    <w:rsid w:val="003B6FC3"/>
    <w:rPr>
      <w:rFonts w:ascii="Arial" w:eastAsia="Times New Roman" w:hAnsi="Arial" w:cs="Times New Roman"/>
      <w:b/>
      <w:lang w:val="en-GB" w:eastAsia="en-GB"/>
    </w:rPr>
  </w:style>
  <w:style w:type="character" w:customStyle="1" w:styleId="TAHCar">
    <w:name w:val="TAH Car"/>
    <w:link w:val="TAH"/>
    <w:qFormat/>
    <w:rsid w:val="003B6FC3"/>
    <w:rPr>
      <w:rFonts w:ascii="Arial" w:eastAsia="Times New Roman" w:hAnsi="Arial" w:cs="Times New Roman"/>
      <w:b/>
      <w:sz w:val="18"/>
      <w:lang w:val="en-GB" w:eastAsia="en-GB"/>
    </w:rPr>
  </w:style>
  <w:style w:type="character" w:customStyle="1" w:styleId="TACChar">
    <w:name w:val="TAC Char"/>
    <w:link w:val="TAC"/>
    <w:qFormat/>
    <w:rsid w:val="003B6FC3"/>
    <w:rPr>
      <w:rFonts w:ascii="Arial" w:eastAsia="Times New Roman" w:hAnsi="Arial" w:cs="Times New Roman"/>
      <w:sz w:val="18"/>
      <w:lang w:val="en-GB" w:eastAsia="en-GB"/>
    </w:rPr>
  </w:style>
  <w:style w:type="character" w:customStyle="1" w:styleId="TANChar">
    <w:name w:val="TAN Char"/>
    <w:link w:val="TAN"/>
    <w:qFormat/>
    <w:rsid w:val="003B6FC3"/>
    <w:rPr>
      <w:rFonts w:ascii="Arial" w:eastAsia="Times New Roman" w:hAnsi="Arial" w:cs="Times New Roman"/>
      <w:sz w:val="18"/>
      <w:lang w:val="en-GB" w:eastAsia="en-GB"/>
    </w:rPr>
  </w:style>
  <w:style w:type="paragraph" w:customStyle="1" w:styleId="CRCoverPage">
    <w:name w:val="CR Cover Page"/>
    <w:rsid w:val="003B6FC3"/>
    <w:pPr>
      <w:spacing w:line="240" w:lineRule="auto"/>
    </w:pPr>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ADBD5453-9DC4-486B-9B49-AC5E04E5E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1SI1</cp:lastModifiedBy>
  <cp:revision>10</cp:revision>
  <cp:lastPrinted>2015-11-10T12:30:00Z</cp:lastPrinted>
  <dcterms:created xsi:type="dcterms:W3CDTF">2020-04-29T06:43:00Z</dcterms:created>
  <dcterms:modified xsi:type="dcterms:W3CDTF">2021-05-07T11:18:00Z</dcterms:modified>
</cp:coreProperties>
</file>